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0B" w:rsidRPr="00E70E7B" w:rsidRDefault="00F74E0B" w:rsidP="000250E0">
      <w:pPr>
        <w:bidi/>
        <w:spacing w:after="0" w:line="240" w:lineRule="auto"/>
        <w:ind w:left="-760" w:right="-270"/>
        <w:jc w:val="both"/>
        <w:rPr>
          <w:rFonts w:cs="Simplified Arabic"/>
          <w:b/>
          <w:bCs/>
          <w:sz w:val="28"/>
          <w:szCs w:val="28"/>
          <w:rtl/>
          <w:lang w:bidi="ar-JO"/>
        </w:rPr>
      </w:pPr>
      <w:r w:rsidRPr="00E70E7B">
        <w:rPr>
          <w:rFonts w:cs="Simplified Arabic" w:hint="cs"/>
          <w:b/>
          <w:bCs/>
          <w:sz w:val="28"/>
          <w:szCs w:val="28"/>
          <w:rtl/>
          <w:lang w:bidi="ar-JO"/>
        </w:rPr>
        <w:t>معايير الاعتماد الخاص لتخصص (</w:t>
      </w:r>
      <w:r w:rsidR="000250E0">
        <w:rPr>
          <w:rFonts w:cs="Simplified Arabic" w:hint="cs"/>
          <w:b/>
          <w:bCs/>
          <w:sz w:val="28"/>
          <w:szCs w:val="28"/>
          <w:rtl/>
          <w:lang w:bidi="ar-JO"/>
        </w:rPr>
        <w:t>132</w:t>
      </w:r>
      <w:r w:rsidR="00D04209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E70E7B">
        <w:rPr>
          <w:rFonts w:cs="Simplified Arabic" w:hint="cs"/>
          <w:b/>
          <w:bCs/>
          <w:sz w:val="28"/>
          <w:szCs w:val="28"/>
          <w:rtl/>
          <w:lang w:bidi="ar-JO"/>
        </w:rPr>
        <w:t>) :</w:t>
      </w:r>
      <w:r w:rsidRPr="00E70E7B">
        <w:rPr>
          <w:rFonts w:cs="Simplified Arabic" w:hint="cs"/>
          <w:sz w:val="28"/>
          <w:szCs w:val="28"/>
          <w:rtl/>
          <w:lang w:bidi="ar-JO"/>
        </w:rPr>
        <w:t xml:space="preserve"> يكون الحد الأدنى لعدد الساعات المعتمدة للخطة الدراسية لنيل درجة البكالوريوس في التخصص (</w:t>
      </w:r>
      <w:r w:rsidR="00D04209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0250E0">
        <w:rPr>
          <w:rFonts w:cs="Simplified Arabic" w:hint="cs"/>
          <w:sz w:val="28"/>
          <w:szCs w:val="28"/>
          <w:rtl/>
          <w:lang w:bidi="ar-JO"/>
        </w:rPr>
        <w:t>العلوم اللوجستية</w:t>
      </w:r>
      <w:r w:rsidR="00D04209">
        <w:rPr>
          <w:rFonts w:cs="Simplified Arabic" w:hint="cs"/>
          <w:sz w:val="28"/>
          <w:szCs w:val="28"/>
          <w:rtl/>
          <w:lang w:bidi="ar-JO"/>
        </w:rPr>
        <w:t xml:space="preserve">  </w:t>
      </w:r>
      <w:r w:rsidRPr="00E70E7B">
        <w:rPr>
          <w:rFonts w:cs="Simplified Arabic" w:hint="cs"/>
          <w:sz w:val="28"/>
          <w:szCs w:val="28"/>
          <w:rtl/>
          <w:lang w:bidi="ar-JO"/>
        </w:rPr>
        <w:t>) ساعة معتمدة على النحو الآتي</w:t>
      </w:r>
      <w:r w:rsidRPr="00E70E7B">
        <w:rPr>
          <w:rFonts w:cs="Simplified Arabic" w:hint="cs"/>
          <w:b/>
          <w:bCs/>
          <w:sz w:val="28"/>
          <w:szCs w:val="28"/>
          <w:rtl/>
          <w:lang w:bidi="ar-JO"/>
        </w:rPr>
        <w:t>:</w:t>
      </w:r>
    </w:p>
    <w:p w:rsidR="00F74E0B" w:rsidRPr="00E70E7B" w:rsidRDefault="00F74E0B" w:rsidP="00A76D81">
      <w:pPr>
        <w:pStyle w:val="ListParagraph"/>
        <w:numPr>
          <w:ilvl w:val="0"/>
          <w:numId w:val="5"/>
        </w:numPr>
        <w:tabs>
          <w:tab w:val="num" w:pos="450"/>
        </w:tabs>
        <w:bidi/>
        <w:spacing w:after="0" w:line="240" w:lineRule="auto"/>
        <w:ind w:left="0" w:firstLine="0"/>
        <w:jc w:val="lowKashida"/>
        <w:rPr>
          <w:rFonts w:cs="Simplified Arabic"/>
          <w:sz w:val="28"/>
          <w:szCs w:val="28"/>
          <w:lang w:bidi="ar-JO"/>
        </w:rPr>
      </w:pPr>
      <w:r w:rsidRPr="00E70E7B">
        <w:rPr>
          <w:rFonts w:cs="Simplified Arabic" w:hint="cs"/>
          <w:b/>
          <w:bCs/>
          <w:sz w:val="28"/>
          <w:szCs w:val="28"/>
          <w:rtl/>
          <w:lang w:bidi="ar-JO"/>
        </w:rPr>
        <w:t>المجالات النظرية الأساسية الإجبارية:</w:t>
      </w:r>
      <w:r w:rsidRPr="00E70E7B">
        <w:rPr>
          <w:rFonts w:cs="Simplified Arabic" w:hint="cs"/>
          <w:sz w:val="28"/>
          <w:szCs w:val="28"/>
          <w:rtl/>
          <w:lang w:bidi="ar-JO"/>
        </w:rPr>
        <w:t xml:space="preserve"> </w:t>
      </w:r>
    </w:p>
    <w:tbl>
      <w:tblPr>
        <w:bidiVisual/>
        <w:tblW w:w="10170" w:type="dxa"/>
        <w:tblInd w:w="-4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5"/>
        <w:gridCol w:w="3105"/>
      </w:tblGrid>
      <w:tr w:rsidR="00F74E0B" w:rsidRPr="00E70E7B" w:rsidTr="00923F19">
        <w:trPr>
          <w:trHeight w:val="398"/>
        </w:trPr>
        <w:tc>
          <w:tcPr>
            <w:tcW w:w="7065" w:type="dxa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:rsidR="00F74E0B" w:rsidRPr="00E70E7B" w:rsidRDefault="00F74E0B" w:rsidP="00F90C91">
            <w:pPr>
              <w:ind w:left="900" w:hanging="36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70E7B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المجال المعرفي</w:t>
            </w:r>
          </w:p>
        </w:tc>
        <w:tc>
          <w:tcPr>
            <w:tcW w:w="3105" w:type="dxa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:rsidR="00F74E0B" w:rsidRPr="00E70E7B" w:rsidRDefault="00F74E0B" w:rsidP="00F90C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70E7B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الحد الأدنى للساعات المعتمدة</w:t>
            </w:r>
          </w:p>
        </w:tc>
      </w:tr>
      <w:tr w:rsidR="00F74E0B" w:rsidRPr="00E70E7B" w:rsidTr="00923F19">
        <w:trPr>
          <w:trHeight w:val="387"/>
        </w:trPr>
        <w:tc>
          <w:tcPr>
            <w:tcW w:w="7065" w:type="dxa"/>
            <w:tcBorders>
              <w:top w:val="double" w:sz="12" w:space="0" w:color="auto"/>
            </w:tcBorders>
          </w:tcPr>
          <w:p w:rsidR="00237562" w:rsidRDefault="00237562" w:rsidP="000250E0">
            <w:pPr>
              <w:bidi/>
              <w:spacing w:after="0" w:line="240" w:lineRule="auto"/>
              <w:ind w:left="1" w:hanging="1"/>
              <w:jc w:val="lowKashida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237562"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استراتجيات تصميم وتشغيل الشبكة اللوجستية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:</w:t>
            </w:r>
          </w:p>
          <w:p w:rsidR="000250E0" w:rsidRDefault="00923F19" w:rsidP="00237562">
            <w:pPr>
              <w:bidi/>
              <w:spacing w:after="0" w:line="240" w:lineRule="auto"/>
              <w:ind w:left="1" w:hanging="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عناصر تصميم الشبكة اللوجستية</w:t>
            </w:r>
            <w:r w:rsidR="0023756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,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عناصر تصميم سلسلة الامدادات</w:t>
            </w:r>
            <w:r w:rsidR="0023756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,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تكامل المال والاعمال</w:t>
            </w:r>
            <w:r w:rsidR="0023756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, العلاقات اللوجستية وواجهات الا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تصال, التنسيق التنظيمي, تخطيط الموقع</w:t>
            </w:r>
            <w:r w:rsidR="0023756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الشراكات والعلاقات مع الموردين</w:t>
            </w:r>
            <w:r w:rsidR="0023756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, العلاقات مع ال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مستهلكين, استراتيجيات التشغيل وال</w:t>
            </w:r>
            <w:r w:rsidR="0023756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عمليات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،</w:t>
            </w:r>
            <w:r w:rsidR="0023756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اللوجستيا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 الالكترونية</w:t>
            </w:r>
            <w:r w:rsidR="00685FCF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،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نماذج اللوجستية</w:t>
            </w:r>
            <w:r w:rsidR="0023756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( العسكرية </w:t>
            </w:r>
            <w:r w:rsidR="00237562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–</w:t>
            </w:r>
            <w:r w:rsidR="0023756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الصحية </w:t>
            </w:r>
            <w:r w:rsidR="00237562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–</w:t>
            </w:r>
            <w:r w:rsidR="0023756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السياحية </w:t>
            </w:r>
            <w:r w:rsidR="00237562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–</w:t>
            </w:r>
            <w:r w:rsidR="0023756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الرياضية : الخ....)</w:t>
            </w:r>
          </w:p>
          <w:p w:rsidR="00DF69BD" w:rsidRPr="00E70E7B" w:rsidRDefault="00DF69BD" w:rsidP="00DF69BD">
            <w:pPr>
              <w:bidi/>
              <w:spacing w:after="0" w:line="240" w:lineRule="auto"/>
              <w:ind w:left="1" w:hanging="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105" w:type="dxa"/>
            <w:tcBorders>
              <w:top w:val="double" w:sz="12" w:space="0" w:color="auto"/>
            </w:tcBorders>
          </w:tcPr>
          <w:p w:rsidR="00F74E0B" w:rsidRPr="00E70E7B" w:rsidRDefault="00237562" w:rsidP="00F443C6">
            <w:pPr>
              <w:spacing w:after="0"/>
              <w:ind w:left="907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15</w:t>
            </w:r>
          </w:p>
        </w:tc>
      </w:tr>
      <w:tr w:rsidR="00F74E0B" w:rsidRPr="00E70E7B" w:rsidTr="00923F19">
        <w:trPr>
          <w:trHeight w:val="593"/>
        </w:trPr>
        <w:tc>
          <w:tcPr>
            <w:tcW w:w="7065" w:type="dxa"/>
          </w:tcPr>
          <w:p w:rsidR="000250E0" w:rsidRDefault="000250E0" w:rsidP="000250E0">
            <w:pPr>
              <w:bidi/>
              <w:spacing w:after="0" w:line="240" w:lineRule="auto"/>
              <w:ind w:left="1" w:hanging="1"/>
              <w:jc w:val="lowKashida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0250E0"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العولمه والتجارة الدولية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DD225E" w:rsidRPr="00E70E7B" w:rsidRDefault="000250E0" w:rsidP="00685FCF">
            <w:pPr>
              <w:bidi/>
              <w:spacing w:after="0" w:line="240" w:lineRule="auto"/>
              <w:ind w:left="46" w:hanging="1"/>
              <w:jc w:val="lowKashida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العولمه والاقتصاد العالمي،الشراء العالمي، التفاوض ومتابعة المشتريات، التجاره والاعمال العالمية، الاستيراد والتصدير، التسويق والمنافسه العالمية، لوجستيات التجزئة والبيع بالجملة، قانون الاعمال، الاتفاقيات التجارية الدولية</w:t>
            </w:r>
            <w:r w:rsidR="00685FCF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3105" w:type="dxa"/>
          </w:tcPr>
          <w:p w:rsidR="00F74E0B" w:rsidRPr="00E70E7B" w:rsidRDefault="000250E0" w:rsidP="00923F19">
            <w:pPr>
              <w:spacing w:after="0"/>
              <w:ind w:left="907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</w:t>
            </w:r>
            <w:r w:rsidR="00923F1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F74E0B" w:rsidRPr="00E70E7B" w:rsidTr="00923F19">
        <w:trPr>
          <w:trHeight w:val="440"/>
        </w:trPr>
        <w:tc>
          <w:tcPr>
            <w:tcW w:w="7065" w:type="dxa"/>
          </w:tcPr>
          <w:p w:rsidR="00F74E0B" w:rsidRPr="00237562" w:rsidRDefault="000250E0" w:rsidP="005D4915">
            <w:pPr>
              <w:bidi/>
              <w:spacing w:after="0" w:line="240" w:lineRule="auto"/>
              <w:ind w:left="46" w:hanging="1"/>
              <w:jc w:val="lowKashida"/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237562"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الادارة اللوجستية:</w:t>
            </w:r>
          </w:p>
          <w:p w:rsidR="008D53B7" w:rsidRPr="00E70E7B" w:rsidRDefault="000250E0" w:rsidP="00923F19">
            <w:pPr>
              <w:bidi/>
              <w:spacing w:after="0" w:line="240" w:lineRule="auto"/>
              <w:ind w:left="46" w:hanging="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اللوجستية وادارة سلسلة الامدادات، الادارة الاست</w:t>
            </w:r>
            <w:r w:rsidR="00923F19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راتيجية التخطيط والضبط اللوجستي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، التنبؤات، ادارة المواد والمخزون</w:t>
            </w:r>
            <w:r w:rsidR="00923F19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, ادارة النقل والتوزيع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, تصم</w:t>
            </w:r>
            <w:r w:rsidR="00923F19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يم المستودعات والمخازن وادارتها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,</w:t>
            </w:r>
            <w:r w:rsidR="00923F19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ادارة الازمات والاعطا</w:t>
            </w:r>
            <w:r w:rsidR="00685FCF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ل</w:t>
            </w:r>
            <w:r w:rsidR="00923F19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والمخاطر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, تقييم وقياس </w:t>
            </w:r>
            <w:r w:rsidR="00923F19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الاداء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, ال</w:t>
            </w:r>
            <w:r w:rsidR="00923F19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امثلة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,  تقييم الشبكة ال</w:t>
            </w:r>
            <w:r w:rsidR="008D53B7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ل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وجستية باستخدام </w:t>
            </w:r>
            <w:r w:rsidR="008D53B7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نظا</w:t>
            </w:r>
            <w:r w:rsidR="00EC187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م</w:t>
            </w:r>
            <w:r w:rsidR="00685FCF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المقارنة</w:t>
            </w:r>
            <w:r w:rsidR="008D53B7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, طرق التحليل الكمي والنوعي ادارة المشاريع </w:t>
            </w:r>
            <w:r w:rsidR="00685FCF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3105" w:type="dxa"/>
          </w:tcPr>
          <w:p w:rsidR="00F74E0B" w:rsidRPr="00E70E7B" w:rsidRDefault="008D53B7" w:rsidP="00923F19">
            <w:pPr>
              <w:spacing w:after="0"/>
              <w:ind w:left="907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</w:t>
            </w:r>
            <w:r w:rsidR="00923F1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F74E0B" w:rsidRPr="00E70E7B" w:rsidTr="00923F19">
        <w:trPr>
          <w:trHeight w:val="377"/>
        </w:trPr>
        <w:tc>
          <w:tcPr>
            <w:tcW w:w="7065" w:type="dxa"/>
          </w:tcPr>
          <w:p w:rsidR="00F74E0B" w:rsidRPr="00237562" w:rsidRDefault="008D53B7" w:rsidP="005D4915">
            <w:pPr>
              <w:bidi/>
              <w:spacing w:after="0" w:line="240" w:lineRule="auto"/>
              <w:ind w:left="1" w:hanging="1"/>
              <w:jc w:val="lowKashida"/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237562"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المعلوماتيه والتطبيقات اللوجستية المحوسبة </w:t>
            </w:r>
            <w:r w:rsidR="00EC1874" w:rsidRPr="00237562"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:</w:t>
            </w:r>
          </w:p>
          <w:p w:rsidR="00DD225E" w:rsidRPr="00E70E7B" w:rsidRDefault="008D53B7" w:rsidP="00685FCF">
            <w:pPr>
              <w:bidi/>
              <w:spacing w:after="0" w:line="240" w:lineRule="auto"/>
              <w:ind w:left="1" w:hanging="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تخطيط تدفق الموارد بالاتجاه العكسي والاما</w:t>
            </w:r>
            <w:r w:rsidR="00685FCF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مي و نقل التكنولوجيا والمعلومات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, دورة ا</w:t>
            </w:r>
            <w:r w:rsidR="00685FCF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لتكنولوجيا في الادارة اللوجستية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, المعلومات وتكنولوجيا الاتصالا</w:t>
            </w:r>
            <w:r w:rsidR="00685FCF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 ,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تطبيقات وبرمج</w:t>
            </w:r>
            <w:r w:rsidR="00685FCF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يات حاسوبية في مجال اللوجستية ,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اساسيات </w:t>
            </w:r>
            <w:r w:rsidR="00685FCF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الحسابات ,الاتمته واللوجستية, التجارة الالكترونية, التسويق الالكتروني, نظم دعم القرارات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, تخطيط موارد المؤسسات </w:t>
            </w:r>
            <w:r w:rsidR="00685FCF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3105" w:type="dxa"/>
          </w:tcPr>
          <w:p w:rsidR="00F74E0B" w:rsidRPr="00E70E7B" w:rsidRDefault="008D53B7" w:rsidP="00F027F7">
            <w:pPr>
              <w:spacing w:after="0"/>
              <w:ind w:left="907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   9</w:t>
            </w:r>
          </w:p>
        </w:tc>
      </w:tr>
      <w:tr w:rsidR="00E053AF" w:rsidRPr="00E70E7B" w:rsidTr="00923F19">
        <w:trPr>
          <w:trHeight w:val="377"/>
        </w:trPr>
        <w:tc>
          <w:tcPr>
            <w:tcW w:w="7065" w:type="dxa"/>
          </w:tcPr>
          <w:p w:rsidR="00E053AF" w:rsidRPr="00982AA2" w:rsidRDefault="008D53B7" w:rsidP="005D4915">
            <w:pPr>
              <w:bidi/>
              <w:spacing w:after="0" w:line="240" w:lineRule="auto"/>
              <w:ind w:left="1" w:hanging="1"/>
              <w:jc w:val="lowKashida"/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982AA2"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اللوجستيات الانسانية والاخلاقية والبيئية : </w:t>
            </w:r>
          </w:p>
          <w:p w:rsidR="008D53B7" w:rsidRPr="00E70E7B" w:rsidRDefault="00783CC4" w:rsidP="00783CC4">
            <w:pPr>
              <w:bidi/>
              <w:spacing w:after="0" w:line="240" w:lineRule="auto"/>
              <w:ind w:left="1" w:hanging="1"/>
              <w:jc w:val="lowKashida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اللوجستيات الانسانية والاستدامه،</w:t>
            </w:r>
            <w:r w:rsidR="008D53B7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القضا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يا اللوجستية البيئية والاخلاقية</w:t>
            </w:r>
            <w:r w:rsidR="008D53B7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, سلاسل الامدادات غير الربيحية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،</w:t>
            </w:r>
            <w:r w:rsidR="008D53B7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سلا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سل امدادات انظمة الرعاية الصحية</w:t>
            </w:r>
            <w:r w:rsidR="008D53B7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, لوجستيات الطوارئ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، الكوارث وعمليات الاغاثة</w:t>
            </w:r>
            <w:r w:rsidR="008D53B7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, التعاون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اللوجستي</w:t>
            </w:r>
            <w:r w:rsidR="008D53B7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العسكري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_</w:t>
            </w:r>
            <w:r w:rsidR="008D53B7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المدني </w:t>
            </w:r>
            <w:r w:rsidR="000B69A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3105" w:type="dxa"/>
          </w:tcPr>
          <w:p w:rsidR="00E053AF" w:rsidRPr="00E70E7B" w:rsidRDefault="008D53B7" w:rsidP="00F027F7">
            <w:pPr>
              <w:spacing w:after="0"/>
              <w:ind w:left="907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6</w:t>
            </w:r>
          </w:p>
        </w:tc>
      </w:tr>
    </w:tbl>
    <w:p w:rsidR="00D96625" w:rsidRPr="00E70E7B" w:rsidRDefault="00D96625" w:rsidP="00D96625">
      <w:pPr>
        <w:pStyle w:val="ListParagraph"/>
        <w:bidi/>
        <w:spacing w:after="0" w:line="240" w:lineRule="auto"/>
        <w:ind w:left="0"/>
        <w:jc w:val="lowKashida"/>
        <w:rPr>
          <w:rFonts w:cs="Simplified Arabic"/>
          <w:b/>
          <w:bCs/>
          <w:sz w:val="28"/>
          <w:szCs w:val="28"/>
          <w:lang w:bidi="ar-JO"/>
        </w:rPr>
      </w:pPr>
    </w:p>
    <w:p w:rsidR="00F74E0B" w:rsidRPr="00E70E7B" w:rsidRDefault="00F74E0B" w:rsidP="00E66D76">
      <w:pPr>
        <w:pStyle w:val="ListParagraph"/>
        <w:numPr>
          <w:ilvl w:val="0"/>
          <w:numId w:val="5"/>
        </w:numPr>
        <w:tabs>
          <w:tab w:val="num" w:pos="450"/>
        </w:tabs>
        <w:bidi/>
        <w:spacing w:after="0" w:line="240" w:lineRule="auto"/>
        <w:ind w:left="0" w:firstLine="0"/>
        <w:jc w:val="lowKashida"/>
        <w:rPr>
          <w:rFonts w:cs="Simplified Arabic"/>
          <w:sz w:val="28"/>
          <w:szCs w:val="28"/>
          <w:rtl/>
          <w:lang w:bidi="ar-JO"/>
        </w:rPr>
      </w:pPr>
      <w:r w:rsidRPr="00E70E7B">
        <w:rPr>
          <w:rFonts w:cs="Simplified Arabic" w:hint="cs"/>
          <w:b/>
          <w:bCs/>
          <w:sz w:val="28"/>
          <w:szCs w:val="28"/>
          <w:rtl/>
          <w:lang w:bidi="ar-JO"/>
        </w:rPr>
        <w:lastRenderedPageBreak/>
        <w:t>المجالات المساندة :</w:t>
      </w:r>
      <w:r w:rsidR="00C96612" w:rsidRPr="00E70E7B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( </w:t>
      </w:r>
      <w:r w:rsidR="00C96612" w:rsidRPr="00E70E7B">
        <w:rPr>
          <w:rFonts w:cs="Simplified Arabic" w:hint="cs"/>
          <w:sz w:val="28"/>
          <w:szCs w:val="28"/>
          <w:rtl/>
          <w:lang w:bidi="ar-JO"/>
        </w:rPr>
        <w:t xml:space="preserve">هي مواد داعمة للتخصص تطرح من قبل تخصصات أو برامج أخرى في الكلية أو من كليات أخرى ذات علاقة </w:t>
      </w:r>
      <w:r w:rsidR="00E66D76" w:rsidRPr="00E70E7B">
        <w:rPr>
          <w:rFonts w:cs="Simplified Arabic" w:hint="cs"/>
          <w:sz w:val="28"/>
          <w:szCs w:val="28"/>
          <w:rtl/>
          <w:lang w:bidi="ar-JO"/>
        </w:rPr>
        <w:t>ويحدد الساعات المعتمدة لكل منها )</w:t>
      </w:r>
    </w:p>
    <w:tbl>
      <w:tblPr>
        <w:bidiVisual/>
        <w:tblW w:w="10080" w:type="dxa"/>
        <w:tblInd w:w="-4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3420"/>
      </w:tblGrid>
      <w:tr w:rsidR="00F74E0B" w:rsidRPr="00E70E7B" w:rsidTr="00D13E11">
        <w:tc>
          <w:tcPr>
            <w:tcW w:w="666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pct20" w:color="auto" w:fill="auto"/>
          </w:tcPr>
          <w:p w:rsidR="00F74E0B" w:rsidRPr="00E70E7B" w:rsidRDefault="00F74E0B" w:rsidP="00F90C91">
            <w:pPr>
              <w:ind w:left="900" w:hanging="36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70E7B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المجال المعرفي</w:t>
            </w:r>
          </w:p>
        </w:tc>
        <w:tc>
          <w:tcPr>
            <w:tcW w:w="34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pct20" w:color="auto" w:fill="auto"/>
          </w:tcPr>
          <w:p w:rsidR="00F74E0B" w:rsidRPr="00E70E7B" w:rsidRDefault="00F74E0B" w:rsidP="00F90C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70E7B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الحد الأدنى للساعات المعتمدة</w:t>
            </w:r>
          </w:p>
        </w:tc>
      </w:tr>
      <w:tr w:rsidR="00F74E0B" w:rsidRPr="00E70E7B" w:rsidTr="00D13E11">
        <w:trPr>
          <w:trHeight w:val="405"/>
        </w:trPr>
        <w:tc>
          <w:tcPr>
            <w:tcW w:w="6660" w:type="dxa"/>
            <w:tcBorders>
              <w:top w:val="double" w:sz="12" w:space="0" w:color="auto"/>
            </w:tcBorders>
          </w:tcPr>
          <w:p w:rsidR="00F74E0B" w:rsidRDefault="00982AA2" w:rsidP="008F7360">
            <w:pPr>
              <w:bidi/>
              <w:spacing w:after="0" w:line="240" w:lineRule="auto"/>
              <w:ind w:left="1" w:hanging="1"/>
              <w:jc w:val="lowKashida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ال</w:t>
            </w:r>
            <w:r w:rsidR="008D53B7" w:rsidRPr="00982AA2"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منظمة والمستخدمون</w:t>
            </w:r>
            <w:r w:rsidR="008D53B7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EC187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8D53B7" w:rsidRPr="00E70E7B" w:rsidRDefault="000B69A2" w:rsidP="000B69A2">
            <w:pPr>
              <w:bidi/>
              <w:spacing w:after="0" w:line="240" w:lineRule="auto"/>
              <w:ind w:left="1" w:hanging="1"/>
              <w:jc w:val="lowKashida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ادارة الموارد البشرية, التدريب</w:t>
            </w:r>
            <w:r w:rsidR="008D53B7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, التعليم المستمر, فرق العمل الجماع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ي، </w:t>
            </w:r>
            <w:r w:rsidR="008D53B7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السلوك التنظيمي,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التحفيز, القيادة</w:t>
            </w:r>
            <w:r w:rsidR="008D53B7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, الريادية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="008D53B7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3420" w:type="dxa"/>
            <w:tcBorders>
              <w:top w:val="double" w:sz="12" w:space="0" w:color="auto"/>
            </w:tcBorders>
          </w:tcPr>
          <w:p w:rsidR="00F74E0B" w:rsidRDefault="008D53B7" w:rsidP="00F027F7">
            <w:pPr>
              <w:spacing w:after="0"/>
              <w:ind w:left="907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9</w:t>
            </w:r>
          </w:p>
          <w:p w:rsidR="008D53B7" w:rsidRPr="00E70E7B" w:rsidRDefault="008D53B7" w:rsidP="00F027F7">
            <w:pPr>
              <w:spacing w:after="0"/>
              <w:ind w:left="907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74E0B" w:rsidRPr="00E70E7B" w:rsidTr="00D13E11">
        <w:trPr>
          <w:trHeight w:val="422"/>
        </w:trPr>
        <w:tc>
          <w:tcPr>
            <w:tcW w:w="6660" w:type="dxa"/>
          </w:tcPr>
          <w:p w:rsidR="00F74E0B" w:rsidRPr="00982AA2" w:rsidRDefault="000B69A2" w:rsidP="008F7360">
            <w:pPr>
              <w:bidi/>
              <w:spacing w:after="0" w:line="240" w:lineRule="auto"/>
              <w:ind w:left="1" w:hanging="1"/>
              <w:jc w:val="lowKashida"/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الاقتصاديات ال</w:t>
            </w:r>
            <w:r w:rsidR="008D53B7" w:rsidRPr="00982AA2"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لوجوستية والتدفقات المالية </w:t>
            </w:r>
            <w:r w:rsidR="00EC1874" w:rsidRPr="00982AA2"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:</w:t>
            </w:r>
          </w:p>
          <w:p w:rsidR="008D53B7" w:rsidRPr="00E70E7B" w:rsidRDefault="000B69A2" w:rsidP="000B69A2">
            <w:pPr>
              <w:bidi/>
              <w:spacing w:after="0" w:line="240" w:lineRule="auto"/>
              <w:ind w:left="1" w:hanging="1"/>
              <w:jc w:val="lowKashida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حساب التكاليف, تحليل التدفق النقدي</w:t>
            </w:r>
            <w:r w:rsidR="008D53B7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,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الاقتصاد الجزئي</w:t>
            </w:r>
            <w:r w:rsidR="008D53B7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, المحافظ الاستثمارية </w:t>
            </w:r>
          </w:p>
        </w:tc>
        <w:tc>
          <w:tcPr>
            <w:tcW w:w="3420" w:type="dxa"/>
          </w:tcPr>
          <w:p w:rsidR="00F74E0B" w:rsidRPr="00E70E7B" w:rsidRDefault="008D53B7" w:rsidP="00F027F7">
            <w:pPr>
              <w:spacing w:after="0"/>
              <w:ind w:left="907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6</w:t>
            </w:r>
          </w:p>
        </w:tc>
      </w:tr>
      <w:tr w:rsidR="008D53B7" w:rsidRPr="00E70E7B" w:rsidTr="00D13E11">
        <w:trPr>
          <w:trHeight w:val="422"/>
        </w:trPr>
        <w:tc>
          <w:tcPr>
            <w:tcW w:w="6660" w:type="dxa"/>
          </w:tcPr>
          <w:p w:rsidR="00EC1874" w:rsidRDefault="008D53B7" w:rsidP="008D53B7">
            <w:pPr>
              <w:bidi/>
              <w:spacing w:after="0" w:line="240" w:lineRule="auto"/>
              <w:ind w:left="1" w:hanging="1"/>
              <w:jc w:val="lowKashida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982AA2"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التحسين والتطوير المستمر</w:t>
            </w:r>
            <w:r w:rsidR="00EC187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: </w:t>
            </w:r>
          </w:p>
          <w:p w:rsidR="008D53B7" w:rsidRDefault="000B69A2" w:rsidP="00EC1874">
            <w:pPr>
              <w:bidi/>
              <w:spacing w:after="0" w:line="240" w:lineRule="auto"/>
              <w:ind w:left="1" w:hanging="1"/>
              <w:jc w:val="lowKashida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ادارة الجوده الشاملة</w:t>
            </w:r>
            <w:r w:rsidR="008D53B7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ادارة الهدر, تطوير المنتجات الوخدمات</w:t>
            </w:r>
            <w:r w:rsidR="00EC187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, ادارة الابداع والتغيير </w:t>
            </w:r>
          </w:p>
        </w:tc>
        <w:tc>
          <w:tcPr>
            <w:tcW w:w="3420" w:type="dxa"/>
          </w:tcPr>
          <w:p w:rsidR="008D53B7" w:rsidRDefault="00EC1874" w:rsidP="00F027F7">
            <w:pPr>
              <w:spacing w:after="0"/>
              <w:ind w:left="907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6</w:t>
            </w:r>
          </w:p>
        </w:tc>
      </w:tr>
      <w:tr w:rsidR="00EC1874" w:rsidRPr="00E70E7B" w:rsidTr="00D13E11">
        <w:trPr>
          <w:trHeight w:val="422"/>
        </w:trPr>
        <w:tc>
          <w:tcPr>
            <w:tcW w:w="6660" w:type="dxa"/>
          </w:tcPr>
          <w:p w:rsidR="00EC1874" w:rsidRPr="00982AA2" w:rsidRDefault="00EC1874" w:rsidP="008D53B7">
            <w:pPr>
              <w:bidi/>
              <w:spacing w:after="0" w:line="240" w:lineRule="auto"/>
              <w:ind w:left="1" w:hanging="1"/>
              <w:jc w:val="lowKashida"/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982AA2"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الصيانة وخدمات التدعم اللوجستي :</w:t>
            </w:r>
          </w:p>
          <w:p w:rsidR="00EC1874" w:rsidRDefault="000B69A2" w:rsidP="00EC1874">
            <w:pPr>
              <w:bidi/>
              <w:spacing w:after="0" w:line="240" w:lineRule="auto"/>
              <w:ind w:left="1" w:hanging="1"/>
              <w:jc w:val="lowKashida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علم الصيانة, خدمات الدعم والصيانة</w:t>
            </w:r>
            <w:r w:rsidR="00EC187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ابرام ال</w:t>
            </w:r>
            <w:r w:rsidR="00EC187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عقود وا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لا</w:t>
            </w:r>
            <w:r w:rsidR="00EC187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تفاقيات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، المحافظة على البني</w:t>
            </w:r>
            <w:r w:rsidR="00EC187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ة التحتية وادامتها .</w:t>
            </w:r>
          </w:p>
        </w:tc>
        <w:tc>
          <w:tcPr>
            <w:tcW w:w="3420" w:type="dxa"/>
          </w:tcPr>
          <w:p w:rsidR="00EC1874" w:rsidRDefault="001570D6" w:rsidP="00F027F7">
            <w:pPr>
              <w:spacing w:after="0"/>
              <w:ind w:left="907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</w:tbl>
    <w:p w:rsidR="00E70E7B" w:rsidRPr="00483393" w:rsidRDefault="00E70E7B" w:rsidP="00483393">
      <w:pPr>
        <w:bidi/>
        <w:spacing w:after="0" w:line="240" w:lineRule="auto"/>
        <w:jc w:val="lowKashida"/>
        <w:rPr>
          <w:rFonts w:cs="Simplified Arabic"/>
          <w:b/>
          <w:bCs/>
          <w:color w:val="FF0000"/>
          <w:sz w:val="28"/>
          <w:szCs w:val="28"/>
          <w:rtl/>
          <w:lang w:bidi="ar-JO"/>
        </w:rPr>
      </w:pPr>
    </w:p>
    <w:p w:rsidR="00454AB0" w:rsidRPr="0043041E" w:rsidRDefault="00454AB0" w:rsidP="00454AB0">
      <w:pPr>
        <w:bidi/>
        <w:spacing w:after="0" w:line="240" w:lineRule="auto"/>
        <w:ind w:left="-180" w:right="-426"/>
        <w:jc w:val="both"/>
        <w:rPr>
          <w:rFonts w:cs="Simplified Arabic"/>
          <w:b/>
          <w:bCs/>
          <w:sz w:val="28"/>
          <w:szCs w:val="28"/>
          <w:rtl/>
        </w:rPr>
      </w:pPr>
    </w:p>
    <w:sectPr w:rsidR="00454AB0" w:rsidRPr="0043041E" w:rsidSect="005A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2FA" w:rsidRDefault="003E52FA" w:rsidP="00A76D81">
      <w:pPr>
        <w:spacing w:after="0" w:line="240" w:lineRule="auto"/>
      </w:pPr>
      <w:r>
        <w:separator/>
      </w:r>
    </w:p>
  </w:endnote>
  <w:endnote w:type="continuationSeparator" w:id="1">
    <w:p w:rsidR="003E52FA" w:rsidRDefault="003E52FA" w:rsidP="00A7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2FA" w:rsidRDefault="003E52FA" w:rsidP="00A76D81">
      <w:pPr>
        <w:spacing w:after="0" w:line="240" w:lineRule="auto"/>
      </w:pPr>
      <w:r>
        <w:separator/>
      </w:r>
    </w:p>
  </w:footnote>
  <w:footnote w:type="continuationSeparator" w:id="1">
    <w:p w:rsidR="003E52FA" w:rsidRDefault="003E52FA" w:rsidP="00A7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517"/>
    <w:multiLevelType w:val="hybridMultilevel"/>
    <w:tmpl w:val="26D8B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33A2C"/>
    <w:multiLevelType w:val="hybridMultilevel"/>
    <w:tmpl w:val="976A597C"/>
    <w:lvl w:ilvl="0" w:tplc="4DA048E2">
      <w:start w:val="5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3242"/>
    <w:multiLevelType w:val="hybridMultilevel"/>
    <w:tmpl w:val="A7BA1AFA"/>
    <w:lvl w:ilvl="0" w:tplc="6D58211E">
      <w:start w:val="8"/>
      <w:numFmt w:val="arabicAlpha"/>
      <w:lvlText w:val="%1."/>
      <w:lvlJc w:val="left"/>
      <w:pPr>
        <w:ind w:left="720" w:hanging="360"/>
      </w:pPr>
      <w:rPr>
        <w:rFonts w:hint="default"/>
        <w:b w:val="0"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60B61"/>
    <w:multiLevelType w:val="hybridMultilevel"/>
    <w:tmpl w:val="E0885988"/>
    <w:lvl w:ilvl="0" w:tplc="4A669338">
      <w:start w:val="1"/>
      <w:numFmt w:val="arabicAlpha"/>
      <w:lvlText w:val="%1."/>
      <w:lvlJc w:val="left"/>
      <w:pPr>
        <w:ind w:left="12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FB5687F"/>
    <w:multiLevelType w:val="hybridMultilevel"/>
    <w:tmpl w:val="06A2D8CA"/>
    <w:lvl w:ilvl="0" w:tplc="5F0E2116">
      <w:start w:val="8"/>
      <w:numFmt w:val="arabicAlpha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504CC"/>
    <w:multiLevelType w:val="hybridMultilevel"/>
    <w:tmpl w:val="8B04A2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C5D7DF1"/>
    <w:multiLevelType w:val="hybridMultilevel"/>
    <w:tmpl w:val="53DC9E4E"/>
    <w:lvl w:ilvl="0" w:tplc="748489A8">
      <w:start w:val="5"/>
      <w:numFmt w:val="arabicAlpha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D20108A"/>
    <w:multiLevelType w:val="hybridMultilevel"/>
    <w:tmpl w:val="2B5821E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E0B"/>
    <w:rsid w:val="000250E0"/>
    <w:rsid w:val="0003440B"/>
    <w:rsid w:val="00053415"/>
    <w:rsid w:val="00092504"/>
    <w:rsid w:val="000B69A2"/>
    <w:rsid w:val="00120FDE"/>
    <w:rsid w:val="0013525D"/>
    <w:rsid w:val="001570D6"/>
    <w:rsid w:val="00161CAD"/>
    <w:rsid w:val="001706DC"/>
    <w:rsid w:val="00173D5C"/>
    <w:rsid w:val="00203044"/>
    <w:rsid w:val="0021337D"/>
    <w:rsid w:val="00237562"/>
    <w:rsid w:val="002B22AE"/>
    <w:rsid w:val="002D6DC0"/>
    <w:rsid w:val="002F180A"/>
    <w:rsid w:val="002F2000"/>
    <w:rsid w:val="00330A2A"/>
    <w:rsid w:val="0035530A"/>
    <w:rsid w:val="003845E6"/>
    <w:rsid w:val="003E52FA"/>
    <w:rsid w:val="00407FF7"/>
    <w:rsid w:val="0043041E"/>
    <w:rsid w:val="0044287B"/>
    <w:rsid w:val="004514FD"/>
    <w:rsid w:val="00453D94"/>
    <w:rsid w:val="00454AB0"/>
    <w:rsid w:val="00483393"/>
    <w:rsid w:val="004A026C"/>
    <w:rsid w:val="004C2F0F"/>
    <w:rsid w:val="00504755"/>
    <w:rsid w:val="00523220"/>
    <w:rsid w:val="005A4020"/>
    <w:rsid w:val="005D4915"/>
    <w:rsid w:val="0060214B"/>
    <w:rsid w:val="00682FF1"/>
    <w:rsid w:val="00685FCF"/>
    <w:rsid w:val="006A0C32"/>
    <w:rsid w:val="006C26E4"/>
    <w:rsid w:val="006C78AE"/>
    <w:rsid w:val="006D2129"/>
    <w:rsid w:val="006D30EA"/>
    <w:rsid w:val="006D7E48"/>
    <w:rsid w:val="0072733B"/>
    <w:rsid w:val="0075264E"/>
    <w:rsid w:val="00774B1B"/>
    <w:rsid w:val="00783CC4"/>
    <w:rsid w:val="0081703B"/>
    <w:rsid w:val="0089085D"/>
    <w:rsid w:val="008D53B7"/>
    <w:rsid w:val="008E2A12"/>
    <w:rsid w:val="008F7360"/>
    <w:rsid w:val="00901EBA"/>
    <w:rsid w:val="009107CA"/>
    <w:rsid w:val="00923F19"/>
    <w:rsid w:val="00932FE0"/>
    <w:rsid w:val="0096152C"/>
    <w:rsid w:val="00982AA2"/>
    <w:rsid w:val="009922BF"/>
    <w:rsid w:val="009F3504"/>
    <w:rsid w:val="00A76D81"/>
    <w:rsid w:val="00AF6B92"/>
    <w:rsid w:val="00B312A5"/>
    <w:rsid w:val="00B43FA5"/>
    <w:rsid w:val="00B46F83"/>
    <w:rsid w:val="00B7295A"/>
    <w:rsid w:val="00B95DB6"/>
    <w:rsid w:val="00B97F2B"/>
    <w:rsid w:val="00C17BB7"/>
    <w:rsid w:val="00C20B75"/>
    <w:rsid w:val="00C2632F"/>
    <w:rsid w:val="00C91D5D"/>
    <w:rsid w:val="00C96612"/>
    <w:rsid w:val="00C974AB"/>
    <w:rsid w:val="00D04209"/>
    <w:rsid w:val="00D13E11"/>
    <w:rsid w:val="00D21832"/>
    <w:rsid w:val="00D40146"/>
    <w:rsid w:val="00D96625"/>
    <w:rsid w:val="00DA4B7A"/>
    <w:rsid w:val="00DA7E36"/>
    <w:rsid w:val="00DB1262"/>
    <w:rsid w:val="00DD225E"/>
    <w:rsid w:val="00DF69BD"/>
    <w:rsid w:val="00E053AF"/>
    <w:rsid w:val="00E11F6A"/>
    <w:rsid w:val="00E1607B"/>
    <w:rsid w:val="00E2085B"/>
    <w:rsid w:val="00E66D76"/>
    <w:rsid w:val="00E70E7B"/>
    <w:rsid w:val="00E759DC"/>
    <w:rsid w:val="00E95598"/>
    <w:rsid w:val="00EB6870"/>
    <w:rsid w:val="00EC1874"/>
    <w:rsid w:val="00F0195F"/>
    <w:rsid w:val="00F027F7"/>
    <w:rsid w:val="00F41F0E"/>
    <w:rsid w:val="00F443C6"/>
    <w:rsid w:val="00F7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20"/>
  </w:style>
  <w:style w:type="paragraph" w:styleId="Heading3">
    <w:name w:val="heading 3"/>
    <w:basedOn w:val="Normal"/>
    <w:next w:val="Normal"/>
    <w:link w:val="Heading3Char"/>
    <w:semiHidden/>
    <w:unhideWhenUsed/>
    <w:qFormat/>
    <w:rsid w:val="00C91D5D"/>
    <w:pPr>
      <w:keepNext/>
      <w:bidi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6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D81"/>
  </w:style>
  <w:style w:type="paragraph" w:styleId="Footer">
    <w:name w:val="footer"/>
    <w:basedOn w:val="Normal"/>
    <w:link w:val="FooterChar"/>
    <w:uiPriority w:val="99"/>
    <w:semiHidden/>
    <w:unhideWhenUsed/>
    <w:rsid w:val="00A76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D81"/>
  </w:style>
  <w:style w:type="paragraph" w:styleId="BalloonText">
    <w:name w:val="Balloon Text"/>
    <w:basedOn w:val="Normal"/>
    <w:link w:val="BalloonTextChar"/>
    <w:uiPriority w:val="99"/>
    <w:semiHidden/>
    <w:unhideWhenUsed/>
    <w:rsid w:val="00A7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8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C91D5D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F06DE0A1D72429135DCEBC98E6F87" ma:contentTypeVersion="7" ma:contentTypeDescription="Create a new document." ma:contentTypeScope="" ma:versionID="a1e55c6e780b83d7392e8505344fb16c">
  <xsd:schema xmlns:xsd="http://www.w3.org/2001/XMLSchema" xmlns:xs="http://www.w3.org/2001/XMLSchema" xmlns:p="http://schemas.microsoft.com/office/2006/metadata/properties" xmlns:ns2="4c854669-c37d-4e1c-9895-ff9cd39da670" xmlns:ns3="0f61c802-2bd1-4e37-8e3d-c870a5d9619a" xmlns:ns4="263820e7-c599-4540-99e9-e95c8837992d" targetNamespace="http://schemas.microsoft.com/office/2006/metadata/properties" ma:root="true" ma:fieldsID="0810ffc1069f30a1521bbcfe5a6380a6" ns2:_="" ns3:_="" ns4:_="">
    <xsd:import namespace="4c854669-c37d-4e1c-9895-ff9cd39da670"/>
    <xsd:import namespace="0f61c802-2bd1-4e37-8e3d-c870a5d9619a"/>
    <xsd:import namespace="263820e7-c599-4540-99e9-e95c883799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creditationType"/>
                <xsd:element ref="ns3:Description0" minOccurs="0"/>
                <xsd:element ref="ns4:Faculty" minOccurs="0"/>
                <xsd:element ref="ns4:Faculty_x003a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1c802-2bd1-4e37-8e3d-c870a5d9619a" elementFormDefault="qualified">
    <xsd:import namespace="http://schemas.microsoft.com/office/2006/documentManagement/types"/>
    <xsd:import namespace="http://schemas.microsoft.com/office/infopath/2007/PartnerControls"/>
    <xsd:element name="AccreditationType" ma:index="11" ma:displayName="AccreditationType" ma:default="1.General Accreditation" ma:format="Dropdown" ma:internalName="AccreditationType">
      <xsd:simpleType>
        <xsd:restriction base="dms:Choice">
          <xsd:enumeration value="1.General Accreditation"/>
          <xsd:enumeration value="2.Standards of Scientific Faculties"/>
          <xsd:enumeration value="3.Standards of Health Faculties"/>
          <xsd:enumeration value="4.Standards of Humanities Faculties"/>
          <xsd:enumeration value="5.Other Standards"/>
        </xsd:restriction>
      </xsd:simpleType>
    </xsd:element>
    <xsd:element name="Description0" ma:index="12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820e7-c599-4540-99e9-e95c8837992d" elementFormDefault="qualified">
    <xsd:import namespace="http://schemas.microsoft.com/office/2006/documentManagement/types"/>
    <xsd:import namespace="http://schemas.microsoft.com/office/infopath/2007/PartnerControls"/>
    <xsd:element name="Faculty" ma:index="13" nillable="true" ma:displayName="Faculty" ma:list="{9a597c2a-20b2-4147-af78-7c2acac37003}" ma:internalName="Faculty" ma:showField="Title">
      <xsd:simpleType>
        <xsd:restriction base="dms:Lookup"/>
      </xsd:simpleType>
    </xsd:element>
    <xsd:element name="Faculty_x003a_Title" ma:index="14" nillable="true" ma:displayName="Faculty:Title" ma:list="{9a597c2a-20b2-4147-af78-7c2acac37003}" ma:internalName="Faculty_x003a_Title" ma:readOnly="true" ma:showField="Title" ma:web="4c854669-c37d-4e1c-9895-ff9cd39da67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reditationType xmlns="0f61c802-2bd1-4e37-8e3d-c870a5d9619a">5.Other Standards</AccreditationType>
    <Description0 xmlns="0f61c802-2bd1-4e37-8e3d-c870a5d9619a">Instructions and standards of special accreditation for Logistic Science/ Higher Education Accreditation Commission   </Description0>
    <_dlc_DocId xmlns="4c854669-c37d-4e1c-9895-ff9cd39da670">CJCARFC42DW7-1-19</_dlc_DocId>
    <_dlc_DocIdUrl xmlns="4c854669-c37d-4e1c-9895-ff9cd39da670">
      <Url>https://sites.ju.edu.jo/ar/pqmc/_layouts/DocIdRedir.aspx?ID=CJCARFC42DW7-1-19</Url>
      <Description>CJCARFC42DW7-1-19</Description>
    </_dlc_DocIdUrl>
    <Faculty xmlns="263820e7-c599-4540-99e9-e95c8837992d">61</Faculty>
  </documentManagement>
</p:properties>
</file>

<file path=customXml/itemProps1.xml><?xml version="1.0" encoding="utf-8"?>
<ds:datastoreItem xmlns:ds="http://schemas.openxmlformats.org/officeDocument/2006/customXml" ds:itemID="{35409B6C-4AFF-4E6A-AE88-8E95475D4390}"/>
</file>

<file path=customXml/itemProps2.xml><?xml version="1.0" encoding="utf-8"?>
<ds:datastoreItem xmlns:ds="http://schemas.openxmlformats.org/officeDocument/2006/customXml" ds:itemID="{DDC54B71-ADD8-4F3C-8AE2-2752F6881F6E}"/>
</file>

<file path=customXml/itemProps3.xml><?xml version="1.0" encoding="utf-8"?>
<ds:datastoreItem xmlns:ds="http://schemas.openxmlformats.org/officeDocument/2006/customXml" ds:itemID="{1A692F1E-1177-45C5-82BD-9435C593EFEA}"/>
</file>

<file path=customXml/itemProps4.xml><?xml version="1.0" encoding="utf-8"?>
<ds:datastoreItem xmlns:ds="http://schemas.openxmlformats.org/officeDocument/2006/customXml" ds:itemID="{0281407C-230A-43E6-BECC-BAABAA645E5A}"/>
</file>

<file path=customXml/itemProps5.xml><?xml version="1.0" encoding="utf-8"?>
<ds:datastoreItem xmlns:ds="http://schemas.openxmlformats.org/officeDocument/2006/customXml" ds:itemID="{991395AD-FC9F-49DA-84E0-369579614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and standards of special accreditation for Logistic Science </dc:title>
  <dc:creator>d.tarawneh</dc:creator>
  <cp:lastModifiedBy>sanaa.ghaith</cp:lastModifiedBy>
  <cp:revision>11</cp:revision>
  <cp:lastPrinted>2014-07-09T22:30:00Z</cp:lastPrinted>
  <dcterms:created xsi:type="dcterms:W3CDTF">2014-06-16T08:41:00Z</dcterms:created>
  <dcterms:modified xsi:type="dcterms:W3CDTF">2014-07-09T23:26:00Z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0x010100E58F06DE0A1D72429135DCEBC98E6F87</vt:lpwstr>
  </property>
  <property fmtid="{D5CDD505-2E9C-101B-9397-08002B2CF9AE}" pid="3" name="Order">
    <vt:r8>1900</vt:r8>
  </property>
  <property fmtid="{D5CDD505-2E9C-101B-9397-08002B2CF9AE}" pid="4" name="_dlc_DocIdItemGuid">
    <vt:lpwstr>97d89b3e-0ffc-4a33-bc80-9e44c6b38f95</vt:lpwstr>
  </property>
</Properties>
</file>